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BA31">
      <w:pPr>
        <w:ind w:left="0" w:leftChars="0" w:firstLine="0" w:firstLineChars="0"/>
        <w:jc w:val="center"/>
        <w:outlineLvl w:val="1"/>
        <w:rPr>
          <w:b/>
          <w:bCs/>
        </w:rPr>
      </w:pPr>
      <w:r>
        <w:rPr>
          <w:rFonts w:hint="eastAsia"/>
          <w:b/>
          <w:bCs/>
        </w:rPr>
        <w:t>西华大学</w:t>
      </w:r>
      <w:r>
        <w:rPr>
          <w:rFonts w:hint="eastAsia"/>
          <w:b/>
          <w:bCs/>
          <w:lang w:val="en-US" w:eastAsia="zh-CN"/>
        </w:rPr>
        <w:t>2025年至2026年</w:t>
      </w:r>
      <w:r>
        <w:rPr>
          <w:rFonts w:hint="eastAsia"/>
          <w:b/>
          <w:bCs/>
        </w:rPr>
        <w:t>平安西华监控</w:t>
      </w:r>
      <w:r>
        <w:rPr>
          <w:rFonts w:hint="eastAsia"/>
          <w:b/>
          <w:bCs/>
          <w:lang w:val="en-US" w:eastAsia="zh-CN"/>
        </w:rPr>
        <w:t>系统</w:t>
      </w:r>
      <w:r>
        <w:rPr>
          <w:rFonts w:hint="eastAsia"/>
          <w:b/>
          <w:bCs/>
        </w:rPr>
        <w:t>维保服务</w:t>
      </w:r>
    </w:p>
    <w:p w14:paraId="2A43F193">
      <w:pPr>
        <w:pStyle w:val="2"/>
        <w:ind w:firstLine="643"/>
        <w:rPr>
          <w:rFonts w:hint="default"/>
        </w:rPr>
      </w:pPr>
      <w:r>
        <w:t>一、特殊资格条件（条款）设置</w:t>
      </w:r>
    </w:p>
    <w:p w14:paraId="3F465367">
      <w:pPr>
        <w:pStyle w:val="5"/>
        <w:spacing w:line="360" w:lineRule="auto"/>
        <w:ind w:firstLine="640"/>
      </w:pPr>
      <w:r>
        <w:rPr>
          <w:rFonts w:hint="eastAsia"/>
        </w:rPr>
        <w:t>1.是否专门面向中小企业采购：</w:t>
      </w:r>
      <w:r>
        <w:rPr>
          <w:rFonts w:hint="eastAsia"/>
          <w:u w:val="none"/>
        </w:rPr>
        <w:t>是</w:t>
      </w:r>
    </w:p>
    <w:p w14:paraId="4D9943C5">
      <w:pPr>
        <w:pStyle w:val="5"/>
        <w:spacing w:line="360" w:lineRule="auto"/>
        <w:ind w:firstLine="640"/>
        <w:rPr>
          <w:color w:val="00B050"/>
          <w:u w:val="single"/>
        </w:rPr>
      </w:pPr>
      <w:r>
        <w:rPr>
          <w:rFonts w:hint="eastAsia"/>
        </w:rPr>
        <w:t>2.是否允许联合体：</w:t>
      </w:r>
      <w:r>
        <w:rPr>
          <w:rFonts w:hint="eastAsia"/>
          <w:u w:val="none"/>
        </w:rPr>
        <w:t>否</w:t>
      </w:r>
    </w:p>
    <w:p w14:paraId="1A525A3B">
      <w:pPr>
        <w:pStyle w:val="5"/>
        <w:spacing w:line="360" w:lineRule="auto"/>
        <w:ind w:firstLine="640"/>
      </w:pPr>
      <w:r>
        <w:rPr>
          <w:rFonts w:hint="eastAsia"/>
        </w:rPr>
        <w:t>3.其他资格条件设置：</w:t>
      </w:r>
      <w:r>
        <w:rPr>
          <w:rFonts w:hint="eastAsia"/>
          <w:u w:val="none"/>
        </w:rPr>
        <w:t xml:space="preserve">无 </w:t>
      </w:r>
    </w:p>
    <w:p w14:paraId="3574C64F">
      <w:pPr>
        <w:pStyle w:val="5"/>
        <w:spacing w:line="360" w:lineRule="auto"/>
        <w:ind w:firstLine="640"/>
      </w:pPr>
      <w:r>
        <w:rPr>
          <w:rFonts w:hint="eastAsia"/>
        </w:rPr>
        <w:t>4.预算与限价：280000元</w:t>
      </w:r>
    </w:p>
    <w:p w14:paraId="744D536B">
      <w:pPr>
        <w:pStyle w:val="2"/>
        <w:ind w:firstLine="643"/>
        <w:rPr>
          <w:rFonts w:hint="default"/>
        </w:rPr>
      </w:pPr>
      <w:r>
        <w:t>二、技术、商务条款</w:t>
      </w:r>
    </w:p>
    <w:p w14:paraId="6FA26096">
      <w:pPr>
        <w:pStyle w:val="3"/>
        <w:ind w:firstLine="640"/>
      </w:pPr>
      <w:r>
        <w:rPr>
          <w:rFonts w:hint="eastAsia"/>
        </w:rPr>
        <w:t>1.项目清单（实质性要求）</w:t>
      </w:r>
    </w:p>
    <w:tbl>
      <w:tblPr>
        <w:tblStyle w:val="9"/>
        <w:tblW w:w="0" w:type="auto"/>
        <w:tblInd w:w="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3"/>
        <w:gridCol w:w="1175"/>
        <w:gridCol w:w="700"/>
        <w:gridCol w:w="725"/>
        <w:gridCol w:w="1187"/>
        <w:gridCol w:w="938"/>
        <w:gridCol w:w="937"/>
        <w:gridCol w:w="1000"/>
        <w:gridCol w:w="1138"/>
      </w:tblGrid>
      <w:tr w14:paraId="51F86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663" w:type="dxa"/>
            <w:vAlign w:val="center"/>
          </w:tcPr>
          <w:p w14:paraId="69FAF2CC">
            <w:pPr>
              <w:ind w:firstLine="0" w:firstLineChars="0"/>
              <w:jc w:val="center"/>
              <w:rPr>
                <w:sz w:val="21"/>
                <w:szCs w:val="21"/>
              </w:rPr>
            </w:pPr>
            <w:r>
              <w:rPr>
                <w:sz w:val="21"/>
                <w:szCs w:val="21"/>
              </w:rPr>
              <w:t>序号</w:t>
            </w:r>
          </w:p>
        </w:tc>
        <w:tc>
          <w:tcPr>
            <w:tcW w:w="1175" w:type="dxa"/>
            <w:vAlign w:val="center"/>
          </w:tcPr>
          <w:p w14:paraId="6AFABB65">
            <w:pPr>
              <w:ind w:firstLine="0" w:firstLineChars="0"/>
              <w:jc w:val="center"/>
              <w:rPr>
                <w:sz w:val="21"/>
                <w:szCs w:val="21"/>
              </w:rPr>
            </w:pPr>
            <w:r>
              <w:rPr>
                <w:sz w:val="21"/>
                <w:szCs w:val="21"/>
              </w:rPr>
              <w:t>标的名称</w:t>
            </w:r>
          </w:p>
        </w:tc>
        <w:tc>
          <w:tcPr>
            <w:tcW w:w="700" w:type="dxa"/>
            <w:vAlign w:val="center"/>
          </w:tcPr>
          <w:p w14:paraId="760A0419">
            <w:pPr>
              <w:ind w:firstLine="0" w:firstLineChars="0"/>
              <w:jc w:val="center"/>
              <w:rPr>
                <w:sz w:val="21"/>
                <w:szCs w:val="21"/>
              </w:rPr>
            </w:pPr>
            <w:r>
              <w:rPr>
                <w:sz w:val="21"/>
                <w:szCs w:val="21"/>
              </w:rPr>
              <w:t>数量</w:t>
            </w:r>
          </w:p>
        </w:tc>
        <w:tc>
          <w:tcPr>
            <w:tcW w:w="725" w:type="dxa"/>
            <w:vAlign w:val="center"/>
          </w:tcPr>
          <w:p w14:paraId="13D3A4F6">
            <w:pPr>
              <w:ind w:firstLine="0" w:firstLineChars="0"/>
              <w:jc w:val="center"/>
              <w:rPr>
                <w:sz w:val="21"/>
                <w:szCs w:val="21"/>
              </w:rPr>
            </w:pPr>
            <w:r>
              <w:rPr>
                <w:sz w:val="21"/>
                <w:szCs w:val="21"/>
              </w:rPr>
              <w:t>单位</w:t>
            </w:r>
          </w:p>
        </w:tc>
        <w:tc>
          <w:tcPr>
            <w:tcW w:w="1187" w:type="dxa"/>
            <w:vAlign w:val="center"/>
          </w:tcPr>
          <w:p w14:paraId="074B9B4F">
            <w:pPr>
              <w:ind w:firstLine="0" w:firstLineChars="0"/>
              <w:jc w:val="center"/>
              <w:rPr>
                <w:sz w:val="21"/>
                <w:szCs w:val="21"/>
              </w:rPr>
            </w:pPr>
            <w:r>
              <w:rPr>
                <w:sz w:val="21"/>
                <w:szCs w:val="21"/>
              </w:rPr>
              <w:t>所属行业</w:t>
            </w:r>
          </w:p>
        </w:tc>
        <w:tc>
          <w:tcPr>
            <w:tcW w:w="938" w:type="dxa"/>
            <w:vAlign w:val="center"/>
          </w:tcPr>
          <w:p w14:paraId="065C8011">
            <w:pPr>
              <w:ind w:firstLine="0" w:firstLineChars="0"/>
              <w:jc w:val="center"/>
              <w:rPr>
                <w:rFonts w:eastAsia="宋体"/>
                <w:sz w:val="21"/>
                <w:szCs w:val="21"/>
              </w:rPr>
            </w:pPr>
            <w:r>
              <w:rPr>
                <w:sz w:val="21"/>
                <w:szCs w:val="21"/>
              </w:rPr>
              <w:t>是否</w:t>
            </w:r>
            <w:r>
              <w:rPr>
                <w:rFonts w:hint="eastAsia"/>
                <w:sz w:val="21"/>
                <w:szCs w:val="21"/>
              </w:rPr>
              <w:t>强制节能产品</w:t>
            </w:r>
          </w:p>
        </w:tc>
        <w:tc>
          <w:tcPr>
            <w:tcW w:w="937" w:type="dxa"/>
            <w:vAlign w:val="center"/>
          </w:tcPr>
          <w:p w14:paraId="6A94AABA">
            <w:pPr>
              <w:ind w:firstLine="0" w:firstLineChars="0"/>
              <w:jc w:val="center"/>
              <w:rPr>
                <w:sz w:val="21"/>
                <w:szCs w:val="21"/>
              </w:rPr>
            </w:pPr>
            <w:r>
              <w:rPr>
                <w:rFonts w:hint="eastAsia"/>
                <w:sz w:val="21"/>
                <w:szCs w:val="21"/>
              </w:rPr>
              <w:t>是否优先节能</w:t>
            </w:r>
          </w:p>
        </w:tc>
        <w:tc>
          <w:tcPr>
            <w:tcW w:w="1000" w:type="dxa"/>
            <w:vAlign w:val="center"/>
          </w:tcPr>
          <w:p w14:paraId="78B35027">
            <w:pPr>
              <w:ind w:firstLine="0" w:firstLineChars="0"/>
              <w:jc w:val="center"/>
              <w:rPr>
                <w:sz w:val="21"/>
                <w:szCs w:val="21"/>
              </w:rPr>
            </w:pPr>
            <w:r>
              <w:rPr>
                <w:rFonts w:hint="eastAsia"/>
                <w:sz w:val="21"/>
                <w:szCs w:val="21"/>
              </w:rPr>
              <w:t>是否优先环保</w:t>
            </w:r>
          </w:p>
        </w:tc>
        <w:tc>
          <w:tcPr>
            <w:tcW w:w="1138" w:type="dxa"/>
            <w:vAlign w:val="center"/>
          </w:tcPr>
          <w:p w14:paraId="686D5A23">
            <w:pPr>
              <w:ind w:firstLine="0" w:firstLineChars="0"/>
              <w:jc w:val="center"/>
              <w:rPr>
                <w:rFonts w:eastAsia="宋体"/>
                <w:sz w:val="21"/>
                <w:szCs w:val="21"/>
              </w:rPr>
            </w:pPr>
            <w:r>
              <w:rPr>
                <w:rFonts w:hint="eastAsia"/>
                <w:sz w:val="21"/>
                <w:szCs w:val="21"/>
              </w:rPr>
              <w:t>是否属于网络安全专用产品</w:t>
            </w:r>
          </w:p>
        </w:tc>
      </w:tr>
      <w:tr w14:paraId="1C9D7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663" w:type="dxa"/>
            <w:vAlign w:val="center"/>
          </w:tcPr>
          <w:p w14:paraId="6D88D071">
            <w:pPr>
              <w:ind w:firstLine="0" w:firstLineChars="0"/>
              <w:jc w:val="center"/>
              <w:rPr>
                <w:sz w:val="21"/>
                <w:szCs w:val="21"/>
              </w:rPr>
            </w:pPr>
            <w:r>
              <w:rPr>
                <w:sz w:val="21"/>
                <w:szCs w:val="21"/>
              </w:rPr>
              <w:t>1</w:t>
            </w:r>
          </w:p>
        </w:tc>
        <w:tc>
          <w:tcPr>
            <w:tcW w:w="1175" w:type="dxa"/>
            <w:vAlign w:val="center"/>
          </w:tcPr>
          <w:p w14:paraId="2B41687D">
            <w:pPr>
              <w:ind w:firstLine="0" w:firstLineChars="0"/>
              <w:jc w:val="center"/>
              <w:rPr>
                <w:sz w:val="21"/>
                <w:szCs w:val="21"/>
              </w:rPr>
            </w:pPr>
            <w:r>
              <w:rPr>
                <w:rFonts w:hint="eastAsia"/>
                <w:sz w:val="21"/>
                <w:szCs w:val="21"/>
              </w:rPr>
              <w:t>西华大学平安西华监控</w:t>
            </w:r>
            <w:r>
              <w:rPr>
                <w:rFonts w:hint="eastAsia"/>
                <w:sz w:val="21"/>
                <w:szCs w:val="21"/>
                <w:lang w:val="en-US" w:eastAsia="zh-CN"/>
              </w:rPr>
              <w:t>系统</w:t>
            </w:r>
            <w:r>
              <w:rPr>
                <w:rFonts w:hint="eastAsia"/>
                <w:sz w:val="21"/>
                <w:szCs w:val="21"/>
              </w:rPr>
              <w:t>维保服务</w:t>
            </w:r>
          </w:p>
        </w:tc>
        <w:tc>
          <w:tcPr>
            <w:tcW w:w="700" w:type="dxa"/>
            <w:vAlign w:val="center"/>
          </w:tcPr>
          <w:p w14:paraId="41A4E24C">
            <w:pPr>
              <w:ind w:firstLine="0" w:firstLineChars="0"/>
              <w:jc w:val="center"/>
              <w:rPr>
                <w:sz w:val="21"/>
                <w:szCs w:val="21"/>
              </w:rPr>
            </w:pPr>
            <w:r>
              <w:rPr>
                <w:rFonts w:hint="eastAsia"/>
                <w:sz w:val="21"/>
                <w:szCs w:val="21"/>
              </w:rPr>
              <w:t>1</w:t>
            </w:r>
          </w:p>
        </w:tc>
        <w:tc>
          <w:tcPr>
            <w:tcW w:w="725" w:type="dxa"/>
            <w:vAlign w:val="center"/>
          </w:tcPr>
          <w:p w14:paraId="5C13CEED">
            <w:pPr>
              <w:ind w:firstLine="0" w:firstLineChars="0"/>
              <w:jc w:val="center"/>
              <w:rPr>
                <w:sz w:val="21"/>
                <w:szCs w:val="21"/>
              </w:rPr>
            </w:pPr>
            <w:r>
              <w:rPr>
                <w:rFonts w:hint="eastAsia"/>
                <w:sz w:val="21"/>
                <w:szCs w:val="21"/>
              </w:rPr>
              <w:t>项</w:t>
            </w:r>
          </w:p>
        </w:tc>
        <w:tc>
          <w:tcPr>
            <w:tcW w:w="1187" w:type="dxa"/>
            <w:vAlign w:val="center"/>
          </w:tcPr>
          <w:p w14:paraId="4C0598AB">
            <w:pPr>
              <w:ind w:firstLine="0" w:firstLineChars="0"/>
              <w:jc w:val="center"/>
              <w:rPr>
                <w:sz w:val="21"/>
                <w:szCs w:val="21"/>
              </w:rPr>
            </w:pPr>
            <w:r>
              <w:rPr>
                <w:rFonts w:hint="eastAsia"/>
                <w:sz w:val="21"/>
                <w:szCs w:val="21"/>
              </w:rPr>
              <w:t>软件和信息技术服务业</w:t>
            </w:r>
          </w:p>
        </w:tc>
        <w:tc>
          <w:tcPr>
            <w:tcW w:w="938" w:type="dxa"/>
            <w:vAlign w:val="center"/>
          </w:tcPr>
          <w:p w14:paraId="4C94E5E7">
            <w:pPr>
              <w:ind w:firstLine="0" w:firstLineChars="0"/>
              <w:jc w:val="center"/>
              <w:rPr>
                <w:sz w:val="21"/>
                <w:szCs w:val="21"/>
              </w:rPr>
            </w:pPr>
            <w:r>
              <w:rPr>
                <w:rFonts w:hint="eastAsia"/>
                <w:sz w:val="21"/>
                <w:szCs w:val="21"/>
              </w:rPr>
              <w:t>否</w:t>
            </w:r>
          </w:p>
        </w:tc>
        <w:tc>
          <w:tcPr>
            <w:tcW w:w="937" w:type="dxa"/>
            <w:vAlign w:val="center"/>
          </w:tcPr>
          <w:p w14:paraId="47FBF23E">
            <w:pPr>
              <w:ind w:firstLine="0" w:firstLineChars="0"/>
              <w:jc w:val="center"/>
              <w:rPr>
                <w:sz w:val="21"/>
                <w:szCs w:val="21"/>
              </w:rPr>
            </w:pPr>
            <w:r>
              <w:rPr>
                <w:rFonts w:hint="eastAsia"/>
                <w:sz w:val="21"/>
                <w:szCs w:val="21"/>
              </w:rPr>
              <w:t>否</w:t>
            </w:r>
          </w:p>
        </w:tc>
        <w:tc>
          <w:tcPr>
            <w:tcW w:w="1000" w:type="dxa"/>
            <w:vAlign w:val="center"/>
          </w:tcPr>
          <w:p w14:paraId="49C893B3">
            <w:pPr>
              <w:ind w:firstLine="420"/>
              <w:jc w:val="center"/>
            </w:pPr>
            <w:r>
              <w:rPr>
                <w:rFonts w:hint="eastAsia"/>
                <w:sz w:val="21"/>
                <w:szCs w:val="21"/>
              </w:rPr>
              <w:t>否</w:t>
            </w:r>
          </w:p>
        </w:tc>
        <w:tc>
          <w:tcPr>
            <w:tcW w:w="1138" w:type="dxa"/>
            <w:vAlign w:val="center"/>
          </w:tcPr>
          <w:p w14:paraId="75FE7B0C">
            <w:pPr>
              <w:ind w:firstLine="0" w:firstLineChars="0"/>
              <w:jc w:val="center"/>
              <w:rPr>
                <w:sz w:val="21"/>
                <w:szCs w:val="21"/>
              </w:rPr>
            </w:pPr>
            <w:r>
              <w:rPr>
                <w:rFonts w:hint="eastAsia"/>
                <w:sz w:val="21"/>
                <w:szCs w:val="21"/>
              </w:rPr>
              <w:t>否</w:t>
            </w:r>
          </w:p>
        </w:tc>
      </w:tr>
    </w:tbl>
    <w:p w14:paraId="1E9E242D">
      <w:pPr>
        <w:pStyle w:val="3"/>
        <w:ind w:firstLine="640"/>
      </w:pPr>
      <w:r>
        <w:rPr>
          <w:rFonts w:hint="eastAsia"/>
        </w:rPr>
        <w:t>2.技术要求</w:t>
      </w:r>
    </w:p>
    <w:p w14:paraId="5ECF9F9A">
      <w:pPr>
        <w:pStyle w:val="5"/>
        <w:spacing w:line="360" w:lineRule="auto"/>
        <w:ind w:firstLine="560"/>
        <w:outlineLvl w:val="2"/>
        <w:rPr>
          <w:b/>
          <w:bCs/>
          <w:sz w:val="28"/>
          <w:szCs w:val="28"/>
        </w:rPr>
      </w:pPr>
      <w:r>
        <w:rPr>
          <w:rFonts w:hint="eastAsia"/>
          <w:b/>
          <w:bCs/>
          <w:sz w:val="28"/>
          <w:szCs w:val="28"/>
        </w:rPr>
        <w:t>（一）服务要求</w:t>
      </w:r>
      <w:r>
        <w:rPr>
          <w:rFonts w:hint="eastAsia"/>
          <w:b/>
          <w:bCs/>
          <w:sz w:val="24"/>
        </w:rPr>
        <w:t>（实质性要求）</w:t>
      </w:r>
    </w:p>
    <w:p w14:paraId="491A434E">
      <w:pPr>
        <w:pStyle w:val="5"/>
        <w:spacing w:line="360" w:lineRule="auto"/>
        <w:ind w:firstLine="480"/>
        <w:rPr>
          <w:rFonts w:ascii="宋体" w:hAnsi="宋体" w:eastAsia="宋体" w:cs="宋体"/>
          <w:sz w:val="24"/>
        </w:rPr>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031"/>
        <w:gridCol w:w="6330"/>
      </w:tblGrid>
      <w:tr w14:paraId="6F4A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59A5526">
            <w:pPr>
              <w:widowControl/>
              <w:spacing w:line="480" w:lineRule="auto"/>
              <w:ind w:firstLine="0" w:firstLineChars="0"/>
              <w:jc w:val="center"/>
              <w:rPr>
                <w:rFonts w:ascii="宋体" w:hAnsi="宋体" w:eastAsia="宋体" w:cs="宋体"/>
                <w:b/>
                <w:color w:val="auto"/>
                <w:kern w:val="0"/>
                <w:sz w:val="21"/>
                <w:szCs w:val="21"/>
              </w:rPr>
            </w:pPr>
          </w:p>
          <w:p w14:paraId="2202F1B0">
            <w:pPr>
              <w:widowControl/>
              <w:spacing w:line="480" w:lineRule="auto"/>
              <w:ind w:firstLine="0" w:firstLineChars="0"/>
              <w:jc w:val="center"/>
              <w:rPr>
                <w:rFonts w:ascii="宋体" w:hAnsi="宋体" w:eastAsia="宋体" w:cs="宋体"/>
                <w:b/>
                <w:color w:val="auto"/>
                <w:kern w:val="0"/>
                <w:sz w:val="21"/>
                <w:szCs w:val="21"/>
              </w:rPr>
            </w:pPr>
          </w:p>
        </w:tc>
        <w:tc>
          <w:tcPr>
            <w:tcW w:w="605" w:type="pct"/>
            <w:vAlign w:val="center"/>
          </w:tcPr>
          <w:p w14:paraId="7F4B5EA9">
            <w:pPr>
              <w:widowControl/>
              <w:spacing w:line="480" w:lineRule="auto"/>
              <w:ind w:firstLine="0" w:firstLineChars="0"/>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714" w:type="pct"/>
            <w:vAlign w:val="center"/>
          </w:tcPr>
          <w:p w14:paraId="1E2F7B79">
            <w:pPr>
              <w:widowControl/>
              <w:spacing w:line="48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服务要求</w:t>
            </w:r>
          </w:p>
        </w:tc>
      </w:tr>
      <w:tr w14:paraId="295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7764F78">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一般参数</w:t>
            </w:r>
          </w:p>
        </w:tc>
        <w:tc>
          <w:tcPr>
            <w:tcW w:w="605" w:type="pct"/>
            <w:vAlign w:val="center"/>
          </w:tcPr>
          <w:p w14:paraId="5BE39B9E">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330" w:type="dxa"/>
            <w:vAlign w:val="center"/>
          </w:tcPr>
          <w:p w14:paraId="03DFDAD9">
            <w:pPr>
              <w:pStyle w:val="5"/>
              <w:ind w:firstLine="420"/>
              <w:jc w:val="left"/>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rPr>
              <w:t>完成</w:t>
            </w:r>
            <w:r>
              <w:rPr>
                <w:rFonts w:hint="eastAsia" w:ascii="宋体" w:hAnsi="宋体" w:eastAsia="宋体" w:cs="宋体"/>
                <w:color w:val="auto"/>
                <w:sz w:val="21"/>
                <w:szCs w:val="21"/>
              </w:rPr>
              <w:t>学校2013年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2017年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监控项目建设</w:t>
            </w:r>
            <w:r>
              <w:rPr>
                <w:rFonts w:hint="eastAsia" w:ascii="宋体" w:hAnsi="宋体" w:eastAsia="宋体" w:cs="宋体"/>
                <w:color w:val="auto"/>
                <w:sz w:val="21"/>
                <w:szCs w:val="21"/>
                <w:lang w:val="en-US" w:eastAsia="zh-CN"/>
              </w:rPr>
              <w:t>的1844</w:t>
            </w:r>
            <w:r>
              <w:rPr>
                <w:rFonts w:hint="eastAsia" w:ascii="宋体" w:hAnsi="宋体" w:eastAsia="宋体" w:cs="宋体"/>
                <w:color w:val="auto"/>
                <w:sz w:val="21"/>
                <w:szCs w:val="21"/>
              </w:rPr>
              <w:t>个</w:t>
            </w:r>
            <w:r>
              <w:rPr>
                <w:rFonts w:hint="eastAsia" w:ascii="宋体" w:hAnsi="宋体" w:eastAsia="宋体" w:cs="宋体"/>
                <w:color w:val="auto"/>
                <w:sz w:val="21"/>
                <w:szCs w:val="21"/>
                <w:lang w:val="en-US" w:eastAsia="zh-CN"/>
              </w:rPr>
              <w:t>监控</w:t>
            </w:r>
            <w:r>
              <w:rPr>
                <w:rFonts w:hint="eastAsia" w:ascii="宋体" w:hAnsi="宋体" w:eastAsia="宋体" w:cs="宋体"/>
                <w:color w:val="auto"/>
                <w:sz w:val="21"/>
                <w:szCs w:val="21"/>
              </w:rPr>
              <w:t>点位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含彭州校区116个</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val="en-US" w:eastAsia="zh-CN"/>
              </w:rPr>
              <w:t>其他接入平安西华监控系统的218台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校医院新区20台，德馨苑10栋68台，八教楼道130台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共计2062个点位</w:t>
            </w:r>
            <w:r>
              <w:rPr>
                <w:rFonts w:hint="eastAsia" w:ascii="宋体" w:hAnsi="宋体" w:eastAsia="宋体" w:cs="宋体"/>
                <w:color w:val="auto"/>
                <w:kern w:val="0"/>
                <w:sz w:val="21"/>
                <w:szCs w:val="21"/>
                <w:lang w:val="en-US" w:eastAsia="zh-CN"/>
              </w:rPr>
              <w:t>监控摄像机及</w:t>
            </w:r>
            <w:r>
              <w:rPr>
                <w:rFonts w:hint="eastAsia" w:ascii="宋体" w:hAnsi="宋体" w:eastAsia="宋体" w:cs="宋体"/>
                <w:color w:val="auto"/>
                <w:sz w:val="21"/>
                <w:szCs w:val="21"/>
              </w:rPr>
              <w:t>电源供给、链路保障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软件配套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后台设备维保服务</w:t>
            </w:r>
            <w:bookmarkStart w:id="1" w:name="_GoBack"/>
            <w:bookmarkEnd w:id="1"/>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保障系统正常运行。</w:t>
            </w:r>
          </w:p>
          <w:p w14:paraId="5A41ADE4">
            <w:pPr>
              <w:ind w:firstLine="420" w:firstLineChars="200"/>
              <w:jc w:val="left"/>
              <w:rPr>
                <w:rFonts w:ascii="宋体" w:hAnsi="宋体" w:eastAsia="宋体" w:cs="宋体"/>
                <w:color w:val="auto"/>
                <w:kern w:val="0"/>
                <w:sz w:val="21"/>
                <w:szCs w:val="21"/>
              </w:rPr>
            </w:pPr>
            <w:r>
              <w:rPr>
                <w:rFonts w:hint="eastAsia" w:ascii="宋体" w:hAnsi="宋体" w:eastAsia="宋体" w:cs="宋体"/>
                <w:color w:val="auto"/>
                <w:sz w:val="21"/>
                <w:szCs w:val="21"/>
              </w:rPr>
              <w:t>1.中标方负责</w:t>
            </w:r>
            <w:r>
              <w:rPr>
                <w:rFonts w:hint="eastAsia" w:ascii="宋体" w:hAnsi="宋体" w:eastAsia="宋体" w:cs="宋体"/>
                <w:color w:val="auto"/>
                <w:sz w:val="21"/>
                <w:szCs w:val="21"/>
                <w:lang w:val="en-US" w:eastAsia="zh-CN"/>
              </w:rPr>
              <w:t>以上2062</w:t>
            </w:r>
            <w:r>
              <w:rPr>
                <w:rFonts w:hint="eastAsia" w:ascii="宋体" w:hAnsi="宋体" w:eastAsia="宋体" w:cs="宋体"/>
                <w:color w:val="auto"/>
                <w:sz w:val="21"/>
                <w:szCs w:val="21"/>
              </w:rPr>
              <w:t>个点位对应设备的硬件维修维护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电源供给、链路保障的维修维护以保证系统正常运行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其中包含线路及配套设备维护维修（电线、网线、光纤、光收发器、防雷模块等），电源配套设备维护维修（集中供电、空开、电箱、插板等）。</w:t>
            </w:r>
            <w:r>
              <w:rPr>
                <w:rFonts w:hint="eastAsia" w:ascii="宋体" w:hAnsi="宋体" w:eastAsia="宋体" w:cs="宋体"/>
                <w:color w:val="auto"/>
                <w:sz w:val="21"/>
                <w:szCs w:val="21"/>
              </w:rPr>
              <w:t>整套系统配套的平台软件的维护以及升级并定期给学校相关人员进行操作管理技术培训，确保所有值班、管理人员具备基本的专业知识；在设备巡检过程中建立详细的设备资产档案，把设备的详细品牌型号、参数、运行状态、维护记录、维修记录、使用年限等形成纸制文件和电子版文件保存。建立设备档案系统方便对设备进行日常管理，通过巡检制度将整个监控系统运行中易出现问题的环节进行提前备份，做好预防；保障系统正常运行，保证设备完好率，及时掌握设备运行状态，生成动态设备管理台账，为设备维修维护、更新换代提供基础资料。完成现场巡查及按计划对设备逐一检查。填写巡检服务单。</w:t>
            </w:r>
          </w:p>
        </w:tc>
      </w:tr>
      <w:tr w14:paraId="56F9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6FBC870B">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一般参数</w:t>
            </w:r>
          </w:p>
        </w:tc>
        <w:tc>
          <w:tcPr>
            <w:tcW w:w="605" w:type="pct"/>
            <w:vAlign w:val="center"/>
          </w:tcPr>
          <w:p w14:paraId="3180222C">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330" w:type="dxa"/>
            <w:vAlign w:val="center"/>
          </w:tcPr>
          <w:p w14:paraId="01DF9E30">
            <w:pPr>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每周对室外、室内</w:t>
            </w:r>
            <w:r>
              <w:rPr>
                <w:rFonts w:hint="eastAsia" w:ascii="宋体" w:hAnsi="宋体" w:eastAsia="宋体" w:cs="宋体"/>
                <w:color w:val="auto"/>
                <w:sz w:val="21"/>
                <w:szCs w:val="21"/>
                <w:lang w:val="en-US" w:eastAsia="zh-CN"/>
              </w:rPr>
              <w:t>2062台</w:t>
            </w:r>
            <w:r>
              <w:rPr>
                <w:rFonts w:hint="eastAsia" w:ascii="宋体" w:hAnsi="宋体" w:eastAsia="宋体" w:cs="宋体"/>
                <w:color w:val="auto"/>
                <w:kern w:val="0"/>
                <w:sz w:val="21"/>
                <w:szCs w:val="21"/>
                <w:lang w:val="en-US" w:eastAsia="zh-CN"/>
              </w:rPr>
              <w:t>像机镜头检查</w:t>
            </w:r>
            <w:r>
              <w:rPr>
                <w:rFonts w:hint="eastAsia" w:ascii="宋体" w:hAnsi="宋体" w:eastAsia="宋体" w:cs="宋体"/>
                <w:color w:val="auto"/>
                <w:sz w:val="21"/>
                <w:szCs w:val="21"/>
              </w:rPr>
              <w:t>检查室外防护装置，防止设备被毁坏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摄像机外罩是否清洁直接关系到摄像枪的图像清晰度，中标单位需随时检查并清洁摄像机外罩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对室外立杆175根（一期90根，二期85根）、室外防水箱404个（一期160个，二期244个）每月巡检，防止掉漆生锈、倒塌掉落。对52间楼宇机房111台交换机（一期58台，二期53台）每月巡查一次，保持</w:t>
            </w:r>
            <w:r>
              <w:rPr>
                <w:rFonts w:hint="eastAsia" w:ascii="宋体" w:hAnsi="宋体" w:eastAsia="宋体" w:cs="宋体"/>
                <w:color w:val="auto"/>
                <w:sz w:val="21"/>
                <w:szCs w:val="21"/>
              </w:rPr>
              <w:t>设备环境的干净，防止灰尘太多、湿度高、温度高而使设备元件出现故障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rPr>
              <w:t>一次检查线路与设备连接处，防止接线头松动而使系统工作不正常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对中心机房9台服务器机房每月巡检一次，保持</w:t>
            </w:r>
            <w:r>
              <w:rPr>
                <w:rFonts w:hint="eastAsia" w:ascii="宋体" w:hAnsi="宋体" w:eastAsia="宋体" w:cs="宋体"/>
                <w:color w:val="auto"/>
                <w:sz w:val="21"/>
                <w:szCs w:val="21"/>
              </w:rPr>
              <w:t>设备环境的干净，防止灰尘太多、湿度高、温度高而使设备元件出现故障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对巡检内容结果</w:t>
            </w:r>
            <w:r>
              <w:rPr>
                <w:rFonts w:hint="eastAsia" w:ascii="宋体" w:hAnsi="宋体" w:eastAsia="宋体" w:cs="宋体"/>
                <w:color w:val="auto"/>
                <w:sz w:val="21"/>
                <w:szCs w:val="21"/>
              </w:rPr>
              <w:t>建立详细</w:t>
            </w:r>
            <w:r>
              <w:rPr>
                <w:rFonts w:hint="eastAsia" w:ascii="宋体" w:hAnsi="宋体" w:eastAsia="宋体" w:cs="宋体"/>
                <w:color w:val="auto"/>
                <w:sz w:val="21"/>
                <w:szCs w:val="21"/>
                <w:lang w:val="en-US" w:eastAsia="zh-CN"/>
              </w:rPr>
              <w:t>档案，形成纸质文件保存。</w:t>
            </w:r>
          </w:p>
        </w:tc>
      </w:tr>
      <w:tr w14:paraId="6FAA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19AAA8B7">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一般参数</w:t>
            </w:r>
          </w:p>
        </w:tc>
        <w:tc>
          <w:tcPr>
            <w:tcW w:w="605" w:type="pct"/>
            <w:vAlign w:val="center"/>
          </w:tcPr>
          <w:p w14:paraId="23266B0C">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330" w:type="dxa"/>
            <w:vAlign w:val="center"/>
          </w:tcPr>
          <w:p w14:paraId="43ABD5ED">
            <w:pPr>
              <w:pStyle w:val="5"/>
              <w:ind w:firstLine="420" w:firstLineChars="200"/>
              <w:jc w:val="left"/>
              <w:rPr>
                <w:rFonts w:ascii="宋体" w:hAnsi="宋体" w:eastAsia="宋体" w:cs="宋体"/>
                <w:color w:val="auto"/>
                <w:kern w:val="0"/>
                <w:sz w:val="21"/>
                <w:szCs w:val="21"/>
              </w:rPr>
            </w:pPr>
            <w:r>
              <w:rPr>
                <w:rFonts w:hint="eastAsia" w:ascii="宋体" w:hAnsi="宋体" w:eastAsia="宋体" w:cs="宋体"/>
                <w:color w:val="auto"/>
                <w:sz w:val="21"/>
                <w:szCs w:val="21"/>
              </w:rPr>
              <w:t>每月对防雷接地测试点进行测试；设备维修完成后，及时安装调试，并总结故障原因，形成文字报告；每季度一次对所有机房到点位的光纤、网线、及电线进行检查（大楼间主干光纤由学校网络中心提供保障）；每天检查录像回放，防止因偶然发生的情况而使录像设置发生改变。每周检查录像回放，通过检查录像回放来发现是否有时间段没有录像，从而查找问题，防止事故发生时而无法提取录像，造成损失；每天检查监控系统是否在录像，防止突然断电而使软件数据库损坏。</w:t>
            </w:r>
          </w:p>
        </w:tc>
      </w:tr>
      <w:tr w14:paraId="0480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pct"/>
            <w:vAlign w:val="center"/>
          </w:tcPr>
          <w:p w14:paraId="03A0AF3A">
            <w:pPr>
              <w:pStyle w:val="5"/>
              <w:ind w:firstLine="0" w:firstLineChars="0"/>
              <w:jc w:val="center"/>
              <w:rPr>
                <w:color w:val="auto"/>
                <w:sz w:val="21"/>
                <w:szCs w:val="21"/>
              </w:rPr>
            </w:pPr>
            <w:r>
              <w:rPr>
                <w:rFonts w:hint="eastAsia" w:ascii="宋体" w:hAnsi="宋体" w:eastAsia="宋体" w:cs="宋体"/>
                <w:color w:val="auto"/>
                <w:kern w:val="0"/>
                <w:sz w:val="21"/>
                <w:szCs w:val="21"/>
              </w:rPr>
              <w:t>一般参数</w:t>
            </w:r>
          </w:p>
        </w:tc>
        <w:tc>
          <w:tcPr>
            <w:tcW w:w="605" w:type="pct"/>
            <w:vAlign w:val="center"/>
          </w:tcPr>
          <w:p w14:paraId="2CD8D864">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330" w:type="dxa"/>
            <w:vAlign w:val="center"/>
          </w:tcPr>
          <w:p w14:paraId="70CDCDB9">
            <w:pPr>
              <w:pStyle w:val="5"/>
              <w:ind w:firstLine="420" w:firstLineChars="200"/>
              <w:jc w:val="left"/>
              <w:rPr>
                <w:rFonts w:ascii="宋体" w:hAnsi="宋体" w:eastAsia="宋体" w:cs="宋体"/>
                <w:color w:val="auto"/>
                <w:kern w:val="0"/>
                <w:sz w:val="21"/>
                <w:szCs w:val="21"/>
              </w:rPr>
            </w:pPr>
            <w:r>
              <w:rPr>
                <w:rFonts w:hint="eastAsia" w:ascii="宋体" w:hAnsi="宋体" w:eastAsia="宋体" w:cs="宋体"/>
                <w:color w:val="auto"/>
                <w:sz w:val="21"/>
                <w:szCs w:val="21"/>
              </w:rPr>
              <w:t>每天检查操作系统日志，</w:t>
            </w:r>
            <w:r>
              <w:rPr>
                <w:rFonts w:hint="eastAsia" w:ascii="宋体" w:hAnsi="宋体" w:eastAsia="宋体" w:cs="宋体"/>
                <w:color w:val="auto"/>
                <w:sz w:val="21"/>
                <w:szCs w:val="21"/>
                <w:lang w:val="en-US" w:eastAsia="zh-CN"/>
              </w:rPr>
              <w:t>巡查存储服务器、平台服务器，解码设备等</w:t>
            </w:r>
            <w:r>
              <w:rPr>
                <w:rFonts w:hint="eastAsia" w:ascii="宋体" w:hAnsi="宋体" w:eastAsia="宋体" w:cs="宋体"/>
                <w:color w:val="auto"/>
                <w:sz w:val="21"/>
                <w:szCs w:val="21"/>
              </w:rPr>
              <w:t>防止出现硬盘损坏，而使系统不能录像。网络摄像机在平台软件或电视墙观察画面质量，清晰度，有无卡顿等。中标方及其工作人员应必须严格遵守校方的规章制度。</w:t>
            </w:r>
          </w:p>
        </w:tc>
      </w:tr>
      <w:tr w14:paraId="672D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1B6F1803">
            <w:pPr>
              <w:pStyle w:val="5"/>
              <w:ind w:firstLine="0" w:firstLineChars="0"/>
              <w:jc w:val="center"/>
              <w:rPr>
                <w:color w:val="auto"/>
                <w:sz w:val="21"/>
                <w:szCs w:val="21"/>
              </w:rPr>
            </w:pPr>
            <w:r>
              <w:rPr>
                <w:rFonts w:hint="eastAsia" w:ascii="宋体" w:hAnsi="宋体" w:eastAsia="宋体" w:cs="宋体"/>
                <w:bCs/>
                <w:color w:val="auto"/>
                <w:kern w:val="0"/>
                <w:sz w:val="21"/>
                <w:szCs w:val="21"/>
              </w:rPr>
              <w:t>重要参数</w:t>
            </w:r>
          </w:p>
        </w:tc>
        <w:tc>
          <w:tcPr>
            <w:tcW w:w="605" w:type="pct"/>
            <w:vAlign w:val="center"/>
          </w:tcPr>
          <w:p w14:paraId="71F7A436">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330" w:type="dxa"/>
            <w:vAlign w:val="center"/>
          </w:tcPr>
          <w:p w14:paraId="0CD1F4A9">
            <w:pPr>
              <w:pStyle w:val="5"/>
              <w:ind w:firstLine="420" w:firstLineChars="200"/>
              <w:jc w:val="left"/>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5.中标方须提供两名驻校服务工程师工作日每天在学校各校区上班（若有特殊情况，中标人须提前安排其他工程师替补），对各校区的整套系统每天巡查巡检，对各类问题及时处理，并协助监控指挥中心做好所有日常布控布防工作。</w:t>
            </w:r>
            <w:bookmarkStart w:id="0" w:name="OLE_LINK1"/>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提供承诺函并加盖投标人公章，格式自拟</w:t>
            </w:r>
            <w:r>
              <w:rPr>
                <w:rFonts w:hint="eastAsia" w:ascii="宋体" w:hAnsi="宋体" w:eastAsia="宋体" w:cs="宋体"/>
                <w:b/>
                <w:bCs/>
                <w:color w:val="FF0000"/>
                <w:sz w:val="21"/>
                <w:szCs w:val="21"/>
                <w:lang w:eastAsia="zh-CN"/>
              </w:rPr>
              <w:t>）</w:t>
            </w:r>
            <w:bookmarkEnd w:id="0"/>
          </w:p>
        </w:tc>
      </w:tr>
      <w:tr w14:paraId="3DE8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80" w:type="pct"/>
            <w:vAlign w:val="center"/>
          </w:tcPr>
          <w:p w14:paraId="0EFFB6E5">
            <w:pPr>
              <w:pStyle w:val="5"/>
              <w:ind w:firstLine="0" w:firstLineChars="0"/>
              <w:jc w:val="center"/>
              <w:rPr>
                <w:color w:val="auto"/>
                <w:sz w:val="21"/>
                <w:szCs w:val="21"/>
              </w:rPr>
            </w:pPr>
            <w:r>
              <w:rPr>
                <w:rFonts w:hint="eastAsia" w:ascii="宋体" w:hAnsi="宋体" w:eastAsia="宋体" w:cs="宋体"/>
                <w:color w:val="auto"/>
                <w:kern w:val="0"/>
                <w:sz w:val="21"/>
                <w:szCs w:val="21"/>
              </w:rPr>
              <w:t>一般参数</w:t>
            </w:r>
          </w:p>
        </w:tc>
        <w:tc>
          <w:tcPr>
            <w:tcW w:w="605" w:type="pct"/>
            <w:vAlign w:val="center"/>
          </w:tcPr>
          <w:p w14:paraId="0846B1FF">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330" w:type="dxa"/>
            <w:vAlign w:val="center"/>
          </w:tcPr>
          <w:p w14:paraId="301FF10A">
            <w:pPr>
              <w:pStyle w:val="5"/>
              <w:ind w:firstLine="420" w:firstLineChars="200"/>
              <w:jc w:val="left"/>
              <w:rPr>
                <w:rFonts w:ascii="宋体" w:hAnsi="宋体" w:eastAsia="宋体" w:cs="宋体"/>
                <w:color w:val="auto"/>
                <w:kern w:val="0"/>
                <w:sz w:val="21"/>
                <w:szCs w:val="21"/>
              </w:rPr>
            </w:pPr>
            <w:r>
              <w:rPr>
                <w:rFonts w:hint="eastAsia" w:ascii="宋体" w:hAnsi="宋体" w:eastAsia="宋体" w:cs="宋体"/>
                <w:color w:val="auto"/>
                <w:sz w:val="21"/>
                <w:szCs w:val="21"/>
              </w:rPr>
              <w:t>▲6.中标人须在合同签订后3天内，自行勘察并熟悉各校区所有光纤、电线、网线走线及所有设备的基础情况，并于第4天进入日常掉线率考核，要求每天总掉线率不得高于3%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因学校大面积施工和不可抗力因素造成的掉线不纳入统计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tc>
      </w:tr>
      <w:tr w14:paraId="6854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pct"/>
            <w:vAlign w:val="center"/>
          </w:tcPr>
          <w:p w14:paraId="7B0A0FEA">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一般参数</w:t>
            </w:r>
          </w:p>
        </w:tc>
        <w:tc>
          <w:tcPr>
            <w:tcW w:w="605" w:type="pct"/>
            <w:vAlign w:val="center"/>
          </w:tcPr>
          <w:p w14:paraId="520A6D75">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3714" w:type="pct"/>
            <w:vAlign w:val="center"/>
          </w:tcPr>
          <w:p w14:paraId="424EFD37">
            <w:pPr>
              <w:ind w:firstLine="420"/>
              <w:jc w:val="left"/>
              <w:rPr>
                <w:rFonts w:ascii="宋体" w:hAnsi="宋体" w:eastAsia="宋体" w:cs="宋体"/>
                <w:color w:val="auto"/>
                <w:sz w:val="21"/>
                <w:szCs w:val="21"/>
              </w:rPr>
            </w:pPr>
            <w:r>
              <w:rPr>
                <w:rFonts w:hint="eastAsia" w:ascii="宋体" w:hAnsi="宋体" w:eastAsia="宋体" w:cs="宋体"/>
                <w:color w:val="auto"/>
                <w:sz w:val="21"/>
                <w:szCs w:val="21"/>
              </w:rPr>
              <w:t>二、升级更新平安西华指挥平台服务。</w:t>
            </w:r>
          </w:p>
          <w:p w14:paraId="60EA18D1">
            <w:pPr>
              <w:ind w:firstLine="420"/>
              <w:jc w:val="left"/>
              <w:rPr>
                <w:rFonts w:ascii="宋体" w:hAnsi="宋体" w:eastAsia="宋体" w:cs="宋体"/>
                <w:color w:val="auto"/>
                <w:kern w:val="0"/>
                <w:sz w:val="21"/>
                <w:szCs w:val="21"/>
              </w:rPr>
            </w:pPr>
            <w:r>
              <w:rPr>
                <w:rFonts w:hint="eastAsia" w:ascii="宋体" w:hAnsi="宋体" w:eastAsia="宋体" w:cs="宋体"/>
                <w:color w:val="auto"/>
                <w:sz w:val="21"/>
                <w:szCs w:val="21"/>
              </w:rPr>
              <w:t>7.升级更新平安西华指挥平台：本次授权路数1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00路国标视频接入；支持统一管理视频监控、一卡通、车辆管控、报警检测、综合管控等应用，实现安防系统的智能化应用及统一集成化管理； 支持用户密码有效时间段进行设置管理，支持用户IP绑定，指定IP地址用户才能登陆平台；支持BS、CS客户端以及IOS、Android移动端应用；支持门禁设备接入、管理和控制，支持门禁权限配置和下发，支持卡（含身份证）、人脸、指纹、卡密码等凭证单独或组合使用的认证方式；</w:t>
            </w:r>
          </w:p>
        </w:tc>
      </w:tr>
      <w:tr w14:paraId="0AE2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680" w:type="pct"/>
            <w:vAlign w:val="center"/>
          </w:tcPr>
          <w:p w14:paraId="76C8B37C">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重要参数</w:t>
            </w:r>
          </w:p>
        </w:tc>
        <w:tc>
          <w:tcPr>
            <w:tcW w:w="605" w:type="pct"/>
            <w:vAlign w:val="center"/>
          </w:tcPr>
          <w:p w14:paraId="0D8C89B6">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3714" w:type="pct"/>
            <w:vAlign w:val="center"/>
          </w:tcPr>
          <w:p w14:paraId="42DC0529">
            <w:pPr>
              <w:ind w:firstLine="420"/>
              <w:jc w:val="left"/>
              <w:rPr>
                <w:rFonts w:ascii="宋体" w:hAnsi="宋体" w:eastAsia="宋体" w:cs="宋体"/>
                <w:color w:val="auto"/>
                <w:kern w:val="0"/>
                <w:sz w:val="21"/>
                <w:szCs w:val="21"/>
              </w:rPr>
            </w:pPr>
            <w:r>
              <w:rPr>
                <w:rFonts w:hint="eastAsia" w:ascii="宋体" w:hAnsi="宋体" w:eastAsia="宋体" w:cs="宋体"/>
                <w:color w:val="auto"/>
                <w:sz w:val="21"/>
                <w:szCs w:val="21"/>
              </w:rPr>
              <w:t>▲8.升级更新的平台需要满足：支持不同色彩展示运行告警状态，支持告警统计、概览、处理，支持告警记录查看、查询，支持告警单条、批量处理；支持系统最近7天每日告警数统计，支持评分量化系统监控指数，显示系统运行状态（提供具有CMA或CNAS标识的检测报告证明材料并加盖投标人公章）；</w:t>
            </w:r>
          </w:p>
        </w:tc>
      </w:tr>
      <w:tr w14:paraId="6A56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C9969A">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重要参数</w:t>
            </w:r>
          </w:p>
        </w:tc>
        <w:tc>
          <w:tcPr>
            <w:tcW w:w="605" w:type="pct"/>
            <w:vAlign w:val="center"/>
          </w:tcPr>
          <w:p w14:paraId="20A824EB">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3714" w:type="pct"/>
            <w:vAlign w:val="center"/>
          </w:tcPr>
          <w:p w14:paraId="70E1A90B">
            <w:pPr>
              <w:ind w:firstLine="420"/>
              <w:jc w:val="left"/>
              <w:rPr>
                <w:rFonts w:ascii="宋体" w:hAnsi="宋体" w:eastAsia="宋体" w:cs="宋体"/>
                <w:color w:val="auto"/>
                <w:kern w:val="0"/>
                <w:sz w:val="21"/>
                <w:szCs w:val="21"/>
              </w:rPr>
            </w:pPr>
            <w:r>
              <w:rPr>
                <w:rFonts w:hint="eastAsia" w:ascii="宋体" w:hAnsi="宋体" w:eastAsia="宋体" w:cs="宋体"/>
                <w:color w:val="auto"/>
                <w:sz w:val="21"/>
                <w:szCs w:val="21"/>
              </w:rPr>
              <w:t>▲9.升级更新的平台需要满足：支持系统内各节点进行查看、增加、删除、修改，展示、查找；支持对系统内所有服务器进行监控，包括名称、IP地址、状态、未处理告警数、CPU使用率、内存使用率、磁盘容量、主机代理版等；支持对系统内所有组件信息进行监控，组件信息</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：组件名称、未处理告警数、所属服务器、最近操作时间、授权状态、维保期限、使用期限（提供具有CMA或CNAS标识的检测报告证明材料并加盖投标人公章）；</w:t>
            </w:r>
          </w:p>
        </w:tc>
      </w:tr>
      <w:tr w14:paraId="4891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680" w:type="pct"/>
            <w:vAlign w:val="center"/>
          </w:tcPr>
          <w:p w14:paraId="343A4662">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重要参数</w:t>
            </w:r>
          </w:p>
        </w:tc>
        <w:tc>
          <w:tcPr>
            <w:tcW w:w="605" w:type="pct"/>
            <w:vAlign w:val="center"/>
          </w:tcPr>
          <w:p w14:paraId="7C896E6E">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3714" w:type="pct"/>
            <w:vAlign w:val="center"/>
          </w:tcPr>
          <w:p w14:paraId="30E79670">
            <w:pPr>
              <w:ind w:firstLine="420"/>
              <w:jc w:val="left"/>
              <w:rPr>
                <w:rFonts w:ascii="宋体" w:hAnsi="宋体" w:eastAsia="宋体" w:cs="宋体"/>
                <w:color w:val="auto"/>
                <w:sz w:val="21"/>
                <w:szCs w:val="21"/>
              </w:rPr>
            </w:pPr>
            <w:r>
              <w:rPr>
                <w:rFonts w:hint="eastAsia" w:ascii="宋体" w:hAnsi="宋体" w:eastAsia="宋体" w:cs="宋体"/>
                <w:color w:val="auto"/>
                <w:sz w:val="21"/>
                <w:szCs w:val="21"/>
              </w:rPr>
              <w:t>▲10.升级更新的平台需要满足：支持根据用户使用习惯自定义配置快捷功能入口，支持首页投放大屏展示，支持不少于最近七日的用户活跃数统计，支持对系统中的分组、服务器、组件等统计概览、查看，支持统计服务器在线率及各服务器在线详情（提供具有CMA或CNAS标识的检测报告证明材料并加盖投标人公章）；</w:t>
            </w:r>
          </w:p>
        </w:tc>
      </w:tr>
      <w:tr w14:paraId="476A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680" w:type="pct"/>
            <w:vAlign w:val="center"/>
          </w:tcPr>
          <w:p w14:paraId="0C090617">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一般参数</w:t>
            </w:r>
          </w:p>
        </w:tc>
        <w:tc>
          <w:tcPr>
            <w:tcW w:w="605" w:type="pct"/>
            <w:vAlign w:val="center"/>
          </w:tcPr>
          <w:p w14:paraId="3058039D">
            <w:pPr>
              <w:widowControl/>
              <w:spacing w:line="480" w:lineRule="auto"/>
              <w:ind w:firstLine="42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3714" w:type="pct"/>
            <w:vAlign w:val="center"/>
          </w:tcPr>
          <w:p w14:paraId="787875E8">
            <w:pPr>
              <w:ind w:firstLine="420"/>
              <w:jc w:val="left"/>
              <w:rPr>
                <w:rFonts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升级更新平安西华指挥平台需满足：支持对服务的参数配置进行查询、查看、修改、下发，支持告警策略配置启用、查看、修改、设置，支持集群信息查看、添加、删除，支持授权查看管理、导入、移除授权文件；支持在线授权激活、离线授权激活； 支持开启自动发现，支持通过交换机设备IP、协议信息发现获取网络中的资源，支持重新发现，支持对发现的资源进行区域绑定，支持查看拓扑页面中的资源告警和线路告警，支持对告警进行处理；支持对拓扑图进行编辑操作，包括拓扑布局修改、拓扑节点搜索、拓扑路线编辑，支持查看监控点到服务器之间的网络连接和流量情况；支持IPv6网络适配，支持IPv6环境下部署、平台访问和业务应用实现。</w:t>
            </w:r>
          </w:p>
        </w:tc>
      </w:tr>
      <w:tr w14:paraId="6D78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1CABD6B1">
            <w:pPr>
              <w:widowControl/>
              <w:spacing w:line="480" w:lineRule="auto"/>
              <w:ind w:firstLine="0" w:firstLineChars="0"/>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实质性要求</w:t>
            </w:r>
          </w:p>
        </w:tc>
        <w:tc>
          <w:tcPr>
            <w:tcW w:w="605" w:type="pct"/>
            <w:vAlign w:val="center"/>
          </w:tcPr>
          <w:p w14:paraId="60861DDA">
            <w:pPr>
              <w:widowControl/>
              <w:spacing w:line="480" w:lineRule="auto"/>
              <w:ind w:firstLine="42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2</w:t>
            </w:r>
          </w:p>
        </w:tc>
        <w:tc>
          <w:tcPr>
            <w:tcW w:w="3714" w:type="pct"/>
            <w:vAlign w:val="center"/>
          </w:tcPr>
          <w:p w14:paraId="20C4A12B">
            <w:pPr>
              <w:pStyle w:val="5"/>
              <w:ind w:firstLine="420"/>
              <w:jc w:val="left"/>
              <w:rPr>
                <w:rFonts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.平安西华监控指挥中心内含平安西华监控一期（清华同方）、平安西华监控二期（海康威视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CVR存储</w:t>
            </w:r>
            <w:r>
              <w:rPr>
                <w:rFonts w:hint="eastAsia" w:ascii="宋体" w:hAnsi="宋体" w:eastAsia="宋体" w:cs="宋体"/>
                <w:color w:val="auto"/>
                <w:sz w:val="21"/>
                <w:szCs w:val="21"/>
              </w:rPr>
              <w:t>）、平安西华监控</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期（海康威视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云存储，质保内</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平安西华人脸识别系统、西华大学考务系统（竞业达）、研究生考试标准化考点系统（竞业达），中标人需升级融合各系统操作。确保校方正常使用，升级融合过程中所需的其他软硬件设备由中标人负责，校方不再另行支付费用。</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提供承诺函并加盖投标人公章，格式自拟</w:t>
            </w:r>
            <w:r>
              <w:rPr>
                <w:rFonts w:hint="eastAsia" w:ascii="宋体" w:hAnsi="宋体" w:eastAsia="宋体" w:cs="宋体"/>
                <w:b/>
                <w:bCs/>
                <w:color w:val="FF0000"/>
                <w:sz w:val="21"/>
                <w:szCs w:val="21"/>
                <w:lang w:eastAsia="zh-CN"/>
              </w:rPr>
              <w:t>）</w:t>
            </w:r>
          </w:p>
        </w:tc>
      </w:tr>
    </w:tbl>
    <w:p w14:paraId="7B478730">
      <w:pPr>
        <w:pStyle w:val="5"/>
        <w:spacing w:line="360" w:lineRule="auto"/>
        <w:ind w:firstLine="560"/>
        <w:rPr>
          <w:b/>
          <w:bCs/>
          <w:sz w:val="28"/>
          <w:szCs w:val="28"/>
        </w:rPr>
      </w:pPr>
    </w:p>
    <w:p w14:paraId="2F61F477">
      <w:pPr>
        <w:pStyle w:val="3"/>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3.商务要求</w:t>
      </w:r>
    </w:p>
    <w:p w14:paraId="79684FCC">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（1）交付（实施）的时间（期限）：自合同签订之日起 365 日</w:t>
      </w:r>
    </w:p>
    <w:p w14:paraId="0DDDE84F">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（2）交付（实施）的地点（范围）：</w:t>
      </w:r>
      <w:r>
        <w:rPr>
          <w:rFonts w:hint="eastAsia" w:ascii="宋体" w:hAnsi="宋体" w:eastAsia="宋体" w:cs="宋体"/>
          <w:kern w:val="0"/>
          <w:sz w:val="24"/>
          <w:szCs w:val="24"/>
        </w:rPr>
        <w:t>西华大学郫都校区及彭州校区</w:t>
      </w:r>
    </w:p>
    <w:p w14:paraId="52826928">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（3）付款条件（进度和方式）：合同签订后支付50%，验收合格后支付50%。</w:t>
      </w:r>
    </w:p>
    <w:p w14:paraId="5D565104">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（4）履约验收：</w:t>
      </w:r>
    </w:p>
    <w:p w14:paraId="1FF02BE8">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①验收组织方式</w:t>
      </w:r>
      <w:r>
        <w:rPr>
          <w:rFonts w:hint="eastAsia" w:ascii="宋体" w:hAnsi="宋体" w:eastAsia="宋体" w:cs="宋体"/>
          <w:sz w:val="24"/>
          <w:szCs w:val="24"/>
          <w:lang w:eastAsia="zh-CN"/>
        </w:rPr>
        <w:t>：</w:t>
      </w:r>
      <w:r>
        <w:rPr>
          <w:rFonts w:hint="eastAsia" w:ascii="宋体" w:hAnsi="宋体" w:eastAsia="宋体" w:cs="宋体"/>
          <w:kern w:val="0"/>
          <w:sz w:val="24"/>
          <w:szCs w:val="24"/>
        </w:rPr>
        <w:t xml:space="preserve">自行验收 </w:t>
      </w:r>
    </w:p>
    <w:p w14:paraId="3566FC41">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②是否邀请本项目的其他供应商:否</w:t>
      </w:r>
    </w:p>
    <w:p w14:paraId="2D9A104F">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③是否邀请专家:否</w:t>
      </w:r>
    </w:p>
    <w:p w14:paraId="6A5FB0FC">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④是否邀请第三方检测机构:否</w:t>
      </w:r>
    </w:p>
    <w:p w14:paraId="6D70E0A7">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⑤履约验收程序:供应商提供周期经采购人确认的运维服务单完成验收。</w:t>
      </w:r>
    </w:p>
    <w:p w14:paraId="1EDAC94F">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B050"/>
          <w:sz w:val="24"/>
          <w:szCs w:val="24"/>
        </w:rPr>
      </w:pPr>
      <w:r>
        <w:rPr>
          <w:rFonts w:hint="eastAsia" w:ascii="宋体" w:hAnsi="宋体" w:eastAsia="宋体" w:cs="宋体"/>
          <w:sz w:val="24"/>
          <w:szCs w:val="24"/>
        </w:rPr>
        <w:t>⑥履约验收时间:供应商提出验收申请之日起15日内组织验收</w:t>
      </w:r>
    </w:p>
    <w:p w14:paraId="5E1A6CC6">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⑦验收组织的其他事项:无</w:t>
      </w:r>
    </w:p>
    <w:p w14:paraId="79F62BB2">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⑧技术履约验收内容:根据招标文件要求及投标文件响应内容进行技术验收。</w:t>
      </w:r>
    </w:p>
    <w:p w14:paraId="3A3DD7EF">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⑨商务履约验收内容:按投标文件响应商务内容验收。</w:t>
      </w:r>
    </w:p>
    <w:p w14:paraId="6A6F0E13">
      <w:pPr>
        <w:pStyle w:val="5"/>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B050"/>
          <w:sz w:val="24"/>
          <w:szCs w:val="24"/>
        </w:rPr>
      </w:pPr>
      <w:r>
        <w:rPr>
          <w:rFonts w:hint="eastAsia" w:ascii="宋体" w:hAnsi="宋体" w:eastAsia="宋体" w:cs="宋体"/>
          <w:sz w:val="24"/>
          <w:szCs w:val="24"/>
        </w:rPr>
        <w:t>⑩履约验收标准:</w:t>
      </w:r>
      <w:r>
        <w:rPr>
          <w:rFonts w:hint="eastAsia" w:ascii="宋体" w:hAnsi="宋体" w:eastAsia="宋体" w:cs="宋体"/>
          <w:kern w:val="0"/>
          <w:sz w:val="24"/>
          <w:szCs w:val="24"/>
        </w:rPr>
        <w:t>本项目采购人及其委托的采购代理机构将依据合同条款、招标文件要求、投标文件响应及承诺内容，严格按照政府采购相关法律法规以及《财政部关于进一步加强政府采购需求和履约验收管理的指导意见》 （财库〔2016〕205 号）执行的要求进行验收。</w:t>
      </w:r>
    </w:p>
    <w:p w14:paraId="7E69A3BF">
      <w:pPr>
        <w:pStyle w:val="5"/>
        <w:spacing w:line="360" w:lineRule="auto"/>
        <w:ind w:left="0" w:leftChars="0" w:firstLine="0" w:firstLineChars="0"/>
        <w:rPr>
          <w:b/>
          <w:bCs/>
        </w:rPr>
      </w:pPr>
    </w:p>
    <w:p w14:paraId="4AB42D96">
      <w:pPr>
        <w:pStyle w:val="2"/>
        <w:ind w:firstLine="643"/>
        <w:rPr>
          <w:rFonts w:hint="default"/>
        </w:rPr>
      </w:pPr>
      <w:r>
        <w:t>三、评分标准</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285"/>
        <w:gridCol w:w="1285"/>
        <w:gridCol w:w="4791"/>
      </w:tblGrid>
      <w:tr w14:paraId="69CE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80" w:type="pct"/>
            <w:vAlign w:val="center"/>
          </w:tcPr>
          <w:p w14:paraId="52C08894">
            <w:pPr>
              <w:spacing w:line="300" w:lineRule="auto"/>
              <w:ind w:firstLine="0" w:firstLineChars="0"/>
              <w:jc w:val="center"/>
              <w:rPr>
                <w:rFonts w:ascii="宋体" w:hAnsi="宋体" w:eastAsia="宋体" w:cs="宋体"/>
                <w:b/>
                <w:bCs/>
                <w:sz w:val="24"/>
              </w:rPr>
            </w:pPr>
            <w:r>
              <w:rPr>
                <w:rFonts w:hint="eastAsia" w:ascii="宋体" w:hAnsi="宋体" w:eastAsia="宋体" w:cs="宋体"/>
                <w:b/>
                <w:bCs/>
                <w:sz w:val="24"/>
              </w:rPr>
              <w:t>序号</w:t>
            </w:r>
          </w:p>
        </w:tc>
        <w:tc>
          <w:tcPr>
            <w:tcW w:w="754" w:type="pct"/>
            <w:vAlign w:val="center"/>
          </w:tcPr>
          <w:p w14:paraId="285BFFDA">
            <w:pPr>
              <w:spacing w:line="300" w:lineRule="auto"/>
              <w:ind w:firstLine="0" w:firstLineChars="0"/>
              <w:jc w:val="center"/>
              <w:rPr>
                <w:rFonts w:ascii="宋体" w:hAnsi="宋体" w:eastAsia="宋体" w:cs="宋体"/>
                <w:b/>
                <w:bCs/>
                <w:sz w:val="24"/>
              </w:rPr>
            </w:pPr>
            <w:r>
              <w:rPr>
                <w:rFonts w:hint="eastAsia" w:ascii="宋体" w:hAnsi="宋体" w:eastAsia="宋体" w:cs="宋体"/>
                <w:b/>
                <w:bCs/>
                <w:sz w:val="24"/>
              </w:rPr>
              <w:t>评分因素</w:t>
            </w:r>
          </w:p>
        </w:tc>
        <w:tc>
          <w:tcPr>
            <w:tcW w:w="754" w:type="pct"/>
            <w:vAlign w:val="center"/>
          </w:tcPr>
          <w:p w14:paraId="5B342987">
            <w:pPr>
              <w:spacing w:line="300" w:lineRule="auto"/>
              <w:ind w:firstLine="0" w:firstLineChars="0"/>
              <w:jc w:val="center"/>
              <w:rPr>
                <w:rFonts w:ascii="宋体" w:hAnsi="宋体" w:eastAsia="宋体" w:cs="宋体"/>
                <w:b/>
                <w:bCs/>
                <w:sz w:val="24"/>
              </w:rPr>
            </w:pPr>
            <w:r>
              <w:rPr>
                <w:rFonts w:hint="eastAsia" w:ascii="宋体" w:hAnsi="宋体" w:eastAsia="宋体" w:cs="宋体"/>
                <w:b/>
                <w:bCs/>
                <w:sz w:val="24"/>
              </w:rPr>
              <w:t>分值</w:t>
            </w:r>
          </w:p>
        </w:tc>
        <w:tc>
          <w:tcPr>
            <w:tcW w:w="2811" w:type="pct"/>
            <w:vAlign w:val="center"/>
          </w:tcPr>
          <w:p w14:paraId="24C2BB16">
            <w:pPr>
              <w:spacing w:line="300" w:lineRule="auto"/>
              <w:ind w:firstLine="0" w:firstLineChars="0"/>
              <w:jc w:val="center"/>
              <w:rPr>
                <w:rFonts w:ascii="宋体" w:hAnsi="宋体" w:eastAsia="宋体" w:cs="宋体"/>
                <w:b/>
                <w:bCs/>
                <w:sz w:val="24"/>
              </w:rPr>
            </w:pPr>
            <w:r>
              <w:rPr>
                <w:rFonts w:hint="eastAsia" w:ascii="宋体" w:hAnsi="宋体" w:eastAsia="宋体" w:cs="宋体"/>
                <w:b/>
                <w:bCs/>
                <w:sz w:val="24"/>
              </w:rPr>
              <w:t>评分标准</w:t>
            </w:r>
          </w:p>
        </w:tc>
      </w:tr>
      <w:tr w14:paraId="1524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680" w:type="pct"/>
            <w:vAlign w:val="center"/>
          </w:tcPr>
          <w:p w14:paraId="14175010">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1</w:t>
            </w:r>
          </w:p>
        </w:tc>
        <w:tc>
          <w:tcPr>
            <w:tcW w:w="754" w:type="pct"/>
            <w:vAlign w:val="center"/>
          </w:tcPr>
          <w:p w14:paraId="67AD1194">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报价</w:t>
            </w:r>
          </w:p>
        </w:tc>
        <w:tc>
          <w:tcPr>
            <w:tcW w:w="754" w:type="pct"/>
            <w:vAlign w:val="center"/>
          </w:tcPr>
          <w:p w14:paraId="5634EB42">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2811" w:type="pct"/>
            <w:vAlign w:val="center"/>
          </w:tcPr>
          <w:p w14:paraId="6E993D15">
            <w:pPr>
              <w:spacing w:line="300" w:lineRule="auto"/>
              <w:ind w:firstLine="0" w:firstLineChars="0"/>
              <w:rPr>
                <w:rFonts w:ascii="宋体" w:hAnsi="宋体" w:eastAsia="宋体" w:cs="宋体"/>
                <w:sz w:val="21"/>
                <w:szCs w:val="21"/>
              </w:rPr>
            </w:pPr>
            <w:r>
              <w:rPr>
                <w:rFonts w:hint="eastAsia" w:ascii="宋体" w:hAnsi="宋体" w:eastAsia="宋体" w:cs="宋体"/>
                <w:bCs/>
                <w:sz w:val="21"/>
                <w:szCs w:val="21"/>
              </w:rPr>
              <w:t>经评标委员会评审，通过资格性和符合性审查，且投标报价最低的投标人的投标报价作为评标基准价。投标报价得分=(评标基准价／投标报价)×</w:t>
            </w:r>
            <w:r>
              <w:rPr>
                <w:rFonts w:hint="eastAsia" w:ascii="宋体" w:hAnsi="宋体" w:eastAsia="宋体" w:cs="宋体"/>
                <w:bCs/>
                <w:sz w:val="21"/>
                <w:szCs w:val="21"/>
                <w:lang w:val="en-US" w:eastAsia="zh-CN"/>
              </w:rPr>
              <w:t>3</w:t>
            </w:r>
            <w:r>
              <w:rPr>
                <w:rFonts w:hint="eastAsia" w:ascii="宋体" w:hAnsi="宋体" w:eastAsia="宋体" w:cs="宋体"/>
                <w:bCs/>
                <w:sz w:val="21"/>
                <w:szCs w:val="21"/>
              </w:rPr>
              <w:t>0</w:t>
            </w:r>
          </w:p>
        </w:tc>
      </w:tr>
      <w:tr w14:paraId="1534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680" w:type="pct"/>
            <w:vAlign w:val="center"/>
          </w:tcPr>
          <w:p w14:paraId="5F752366">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2</w:t>
            </w:r>
          </w:p>
        </w:tc>
        <w:tc>
          <w:tcPr>
            <w:tcW w:w="754" w:type="pct"/>
            <w:vAlign w:val="center"/>
          </w:tcPr>
          <w:p w14:paraId="201EFCE6">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技术、服务要求</w:t>
            </w:r>
          </w:p>
        </w:tc>
        <w:tc>
          <w:tcPr>
            <w:tcW w:w="754" w:type="pct"/>
            <w:vAlign w:val="center"/>
          </w:tcPr>
          <w:p w14:paraId="1D006174">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46</w:t>
            </w:r>
          </w:p>
        </w:tc>
        <w:tc>
          <w:tcPr>
            <w:tcW w:w="2811" w:type="pct"/>
            <w:vAlign w:val="center"/>
          </w:tcPr>
          <w:p w14:paraId="4AE47E1A">
            <w:pPr>
              <w:spacing w:line="300" w:lineRule="auto"/>
              <w:ind w:firstLine="0" w:firstLineChars="0"/>
              <w:rPr>
                <w:rFonts w:ascii="宋体" w:hAnsi="宋体" w:eastAsia="宋体" w:cs="宋体"/>
                <w:bCs/>
                <w:sz w:val="21"/>
                <w:szCs w:val="21"/>
              </w:rPr>
            </w:pPr>
            <w:r>
              <w:rPr>
                <w:rFonts w:hint="eastAsia" w:ascii="宋体" w:hAnsi="宋体" w:eastAsia="宋体" w:cs="宋体"/>
                <w:bCs/>
                <w:sz w:val="21"/>
                <w:szCs w:val="21"/>
              </w:rPr>
              <w:t>投标人技术服务基准分为46分，以此为基准进行评分；</w:t>
            </w:r>
          </w:p>
          <w:p w14:paraId="400CBA74">
            <w:pPr>
              <w:spacing w:line="300" w:lineRule="auto"/>
              <w:ind w:firstLine="0" w:firstLineChars="0"/>
              <w:rPr>
                <w:rFonts w:ascii="宋体" w:hAnsi="宋体" w:eastAsia="宋体" w:cs="宋体"/>
                <w:bCs/>
                <w:sz w:val="21"/>
                <w:szCs w:val="21"/>
              </w:rPr>
            </w:pPr>
            <w:r>
              <w:rPr>
                <w:rFonts w:hint="eastAsia" w:ascii="宋体" w:hAnsi="宋体" w:eastAsia="宋体" w:cs="宋体"/>
                <w:bCs/>
                <w:sz w:val="21"/>
                <w:szCs w:val="21"/>
              </w:rPr>
              <w:t>1.技术服务要求中的非▲号项共6项，每有一项不满足扣3分，共计18分，扣完为止。</w:t>
            </w:r>
          </w:p>
          <w:p w14:paraId="37D53882">
            <w:pPr>
              <w:spacing w:line="300" w:lineRule="auto"/>
              <w:ind w:firstLine="0" w:firstLineChars="0"/>
              <w:rPr>
                <w:rFonts w:ascii="宋体" w:hAnsi="宋体" w:eastAsia="宋体" w:cs="宋体"/>
                <w:bCs/>
                <w:sz w:val="21"/>
                <w:szCs w:val="21"/>
              </w:rPr>
            </w:pPr>
            <w:r>
              <w:rPr>
                <w:rFonts w:hint="eastAsia" w:ascii="宋体" w:hAnsi="宋体" w:eastAsia="宋体" w:cs="宋体"/>
                <w:bCs/>
                <w:sz w:val="21"/>
                <w:szCs w:val="21"/>
              </w:rPr>
              <w:t>2.技术服务要求中的▲号项共4条，每有一项不满足扣7分，共计28分，扣完为止。</w:t>
            </w:r>
          </w:p>
          <w:p w14:paraId="6BE5B6D8">
            <w:pPr>
              <w:spacing w:line="300" w:lineRule="auto"/>
              <w:ind w:firstLine="0" w:firstLineChars="0"/>
              <w:rPr>
                <w:rFonts w:ascii="宋体" w:hAnsi="宋体" w:eastAsia="宋体" w:cs="宋体"/>
                <w:sz w:val="21"/>
                <w:szCs w:val="21"/>
              </w:rPr>
            </w:pPr>
            <w:r>
              <w:rPr>
                <w:rFonts w:hint="eastAsia" w:ascii="宋体" w:hAnsi="宋体" w:eastAsia="宋体" w:cs="宋体"/>
                <w:bCs/>
                <w:sz w:val="21"/>
                <w:szCs w:val="21"/>
              </w:rPr>
              <w:t>3.前两项汇总得出技术服务总得分。</w:t>
            </w:r>
          </w:p>
        </w:tc>
      </w:tr>
      <w:tr w14:paraId="4202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680" w:type="pct"/>
            <w:vAlign w:val="center"/>
          </w:tcPr>
          <w:p w14:paraId="5DD3B4B4">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3</w:t>
            </w:r>
          </w:p>
        </w:tc>
        <w:tc>
          <w:tcPr>
            <w:tcW w:w="754" w:type="pct"/>
            <w:vAlign w:val="center"/>
          </w:tcPr>
          <w:p w14:paraId="4A25739E">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维保服务实施方案</w:t>
            </w:r>
          </w:p>
        </w:tc>
        <w:tc>
          <w:tcPr>
            <w:tcW w:w="754" w:type="pct"/>
            <w:vAlign w:val="center"/>
          </w:tcPr>
          <w:p w14:paraId="683F304F">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18</w:t>
            </w:r>
          </w:p>
        </w:tc>
        <w:tc>
          <w:tcPr>
            <w:tcW w:w="2811" w:type="pct"/>
            <w:vAlign w:val="center"/>
          </w:tcPr>
          <w:p w14:paraId="2D8B39C2">
            <w:pPr>
              <w:spacing w:line="0" w:lineRule="atLeast"/>
              <w:ind w:firstLine="0" w:firstLineChars="0"/>
              <w:jc w:val="left"/>
              <w:rPr>
                <w:rFonts w:ascii="宋体" w:hAnsi="宋体" w:eastAsia="宋体" w:cs="宋体"/>
                <w:bCs/>
                <w:sz w:val="21"/>
                <w:szCs w:val="21"/>
              </w:rPr>
            </w:pPr>
            <w:r>
              <w:rPr>
                <w:rFonts w:hint="eastAsia" w:ascii="宋体" w:hAnsi="宋体" w:eastAsia="宋体" w:cs="宋体"/>
                <w:sz w:val="21"/>
                <w:szCs w:val="21"/>
              </w:rPr>
              <w:t>根据投标人针对本项目拟定的维保服务实施方案进行评分，包含：1.含服务计划、2.维保服务人员配置、3.服务实现方式</w:t>
            </w:r>
            <w:r>
              <w:rPr>
                <w:rFonts w:hint="eastAsia" w:ascii="宋体" w:hAnsi="宋体" w:eastAsia="宋体" w:cs="宋体"/>
                <w:sz w:val="21"/>
                <w:szCs w:val="21"/>
                <w:lang w:val="en-US" w:eastAsia="zh-CN"/>
              </w:rPr>
              <w:t>及保障措施</w:t>
            </w:r>
            <w:r>
              <w:rPr>
                <w:rFonts w:hint="eastAsia" w:ascii="宋体" w:hAnsi="宋体" w:eastAsia="宋体" w:cs="宋体"/>
                <w:sz w:val="21"/>
                <w:szCs w:val="21"/>
              </w:rPr>
              <w:t>、4.质量保证、5.突出问题处理方法、6.对用户的响应以及与用户的沟通和联系。</w:t>
            </w:r>
          </w:p>
          <w:p w14:paraId="4F1D14F8">
            <w:pPr>
              <w:spacing w:line="0" w:lineRule="atLeast"/>
              <w:ind w:firstLine="0" w:firstLineChars="0"/>
              <w:jc w:val="left"/>
              <w:rPr>
                <w:rFonts w:ascii="宋体" w:hAnsi="宋体" w:eastAsia="宋体" w:cs="宋体"/>
                <w:bCs/>
                <w:sz w:val="21"/>
                <w:szCs w:val="21"/>
              </w:rPr>
            </w:pPr>
            <w:r>
              <w:rPr>
                <w:rFonts w:hint="eastAsia" w:ascii="宋体" w:hAnsi="宋体" w:eastAsia="宋体" w:cs="宋体"/>
                <w:bCs/>
                <w:sz w:val="21"/>
                <w:szCs w:val="21"/>
              </w:rPr>
              <w:t>以上内容完整无缺陷的得18分；每缺少一项扣3分；每有一处存在缺陷扣1.5分</w:t>
            </w:r>
            <w:r>
              <w:rPr>
                <w:rFonts w:hint="eastAsia" w:ascii="宋体" w:hAnsi="宋体" w:eastAsia="宋体" w:cs="宋体"/>
                <w:sz w:val="21"/>
                <w:szCs w:val="21"/>
              </w:rPr>
              <w:t>，扣完为止。</w:t>
            </w:r>
          </w:p>
          <w:p w14:paraId="53E84E48">
            <w:pPr>
              <w:spacing w:line="0" w:lineRule="atLeast"/>
              <w:ind w:firstLine="0" w:firstLineChars="0"/>
              <w:jc w:val="left"/>
              <w:rPr>
                <w:rFonts w:ascii="宋体" w:hAnsi="宋体" w:eastAsia="宋体" w:cs="宋体"/>
                <w:bCs/>
                <w:sz w:val="21"/>
                <w:szCs w:val="21"/>
              </w:rPr>
            </w:pPr>
            <w:r>
              <w:rPr>
                <w:rFonts w:hint="eastAsia" w:ascii="宋体" w:hAnsi="宋体" w:eastAsia="宋体" w:cs="宋体"/>
                <w:bCs/>
                <w:sz w:val="21"/>
                <w:szCs w:val="21"/>
              </w:rPr>
              <w:t>注：缺陷是指：数据、名称、专业术语及符号、文字 表述错误，或存在与项目情况无关的内容，或存在照搬其他地区及项目的内容的任意一种情形。</w:t>
            </w:r>
          </w:p>
        </w:tc>
      </w:tr>
      <w:tr w14:paraId="2E01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680" w:type="pct"/>
            <w:vAlign w:val="center"/>
          </w:tcPr>
          <w:p w14:paraId="07A3E7F1">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4</w:t>
            </w:r>
          </w:p>
        </w:tc>
        <w:tc>
          <w:tcPr>
            <w:tcW w:w="754" w:type="pct"/>
            <w:vAlign w:val="center"/>
          </w:tcPr>
          <w:p w14:paraId="33AD6411">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履约能力</w:t>
            </w:r>
          </w:p>
        </w:tc>
        <w:tc>
          <w:tcPr>
            <w:tcW w:w="754" w:type="pct"/>
            <w:vAlign w:val="center"/>
          </w:tcPr>
          <w:p w14:paraId="2BA9FA3D">
            <w:pPr>
              <w:spacing w:line="0" w:lineRule="atLeast"/>
              <w:ind w:firstLine="0" w:firstLineChars="0"/>
              <w:jc w:val="center"/>
              <w:rPr>
                <w:rFonts w:ascii="宋体" w:hAnsi="宋体" w:eastAsia="宋体" w:cs="宋体"/>
                <w:sz w:val="21"/>
                <w:szCs w:val="21"/>
              </w:rPr>
            </w:pPr>
            <w:r>
              <w:rPr>
                <w:rFonts w:hint="eastAsia" w:ascii="宋体" w:hAnsi="宋体" w:eastAsia="宋体" w:cs="宋体"/>
                <w:sz w:val="21"/>
                <w:szCs w:val="21"/>
              </w:rPr>
              <w:t>6</w:t>
            </w:r>
          </w:p>
        </w:tc>
        <w:tc>
          <w:tcPr>
            <w:tcW w:w="2811" w:type="pct"/>
            <w:vAlign w:val="center"/>
          </w:tcPr>
          <w:p w14:paraId="72BAE5F2">
            <w:pPr>
              <w:spacing w:line="0" w:lineRule="atLeast"/>
              <w:ind w:firstLine="0" w:firstLineChars="0"/>
              <w:jc w:val="left"/>
              <w:rPr>
                <w:rFonts w:ascii="宋体" w:hAnsi="宋体" w:eastAsia="宋体" w:cs="宋体"/>
                <w:sz w:val="21"/>
                <w:szCs w:val="21"/>
              </w:rPr>
            </w:pPr>
            <w:r>
              <w:rPr>
                <w:rFonts w:hint="eastAsia" w:ascii="宋体" w:hAnsi="宋体" w:eastAsia="宋体" w:cs="宋体"/>
                <w:sz w:val="21"/>
                <w:szCs w:val="21"/>
              </w:rPr>
              <w:t>投标人 202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年 1 月 1 日至今，每有一项类似项目业绩得 2 分， 最多得 6分。 </w:t>
            </w:r>
          </w:p>
          <w:p w14:paraId="138885DC">
            <w:pPr>
              <w:spacing w:line="0" w:lineRule="atLeast"/>
              <w:ind w:firstLine="0" w:firstLineChars="0"/>
              <w:jc w:val="left"/>
              <w:rPr>
                <w:rFonts w:ascii="宋体" w:hAnsi="宋体" w:eastAsia="宋体" w:cs="宋体"/>
                <w:bCs/>
                <w:sz w:val="21"/>
                <w:szCs w:val="21"/>
              </w:rPr>
            </w:pPr>
            <w:r>
              <w:rPr>
                <w:rFonts w:hint="eastAsia" w:ascii="宋体" w:hAnsi="宋体" w:eastAsia="宋体" w:cs="宋体"/>
                <w:sz w:val="21"/>
                <w:szCs w:val="21"/>
              </w:rPr>
              <w:t>注：提供项目的中标（成交）通知书或合同（协议）复印件加盖投标人公章。</w:t>
            </w:r>
          </w:p>
        </w:tc>
      </w:tr>
    </w:tbl>
    <w:p w14:paraId="39205D3B">
      <w:pPr>
        <w:ind w:firstLine="420"/>
        <w:rPr>
          <w:rFonts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DU5OGYwMjM4MWVjZjgwNmU2ZWIwNDU4NjJhMTkifQ=="/>
  </w:docVars>
  <w:rsids>
    <w:rsidRoot w:val="00766C28"/>
    <w:rsid w:val="003F7FCE"/>
    <w:rsid w:val="00416D44"/>
    <w:rsid w:val="00586446"/>
    <w:rsid w:val="00766C28"/>
    <w:rsid w:val="0286707D"/>
    <w:rsid w:val="04004389"/>
    <w:rsid w:val="0AD4147E"/>
    <w:rsid w:val="0EA63CED"/>
    <w:rsid w:val="0EB3632D"/>
    <w:rsid w:val="12337A12"/>
    <w:rsid w:val="1408740A"/>
    <w:rsid w:val="15AB710C"/>
    <w:rsid w:val="15D0783E"/>
    <w:rsid w:val="16FF5B47"/>
    <w:rsid w:val="177E3207"/>
    <w:rsid w:val="18215428"/>
    <w:rsid w:val="18B20619"/>
    <w:rsid w:val="19B66515"/>
    <w:rsid w:val="1CCC01EC"/>
    <w:rsid w:val="1E902E21"/>
    <w:rsid w:val="1EFF73E3"/>
    <w:rsid w:val="20615B52"/>
    <w:rsid w:val="22F74179"/>
    <w:rsid w:val="23C94E4A"/>
    <w:rsid w:val="27FF02F9"/>
    <w:rsid w:val="2B06127D"/>
    <w:rsid w:val="33A343B5"/>
    <w:rsid w:val="340B5D44"/>
    <w:rsid w:val="385E22F1"/>
    <w:rsid w:val="3A7B3A28"/>
    <w:rsid w:val="3D706857"/>
    <w:rsid w:val="428D22FC"/>
    <w:rsid w:val="51C410B4"/>
    <w:rsid w:val="55A57753"/>
    <w:rsid w:val="57466DD3"/>
    <w:rsid w:val="5CCA63D4"/>
    <w:rsid w:val="5E7635C2"/>
    <w:rsid w:val="5FFB4FF2"/>
    <w:rsid w:val="63253694"/>
    <w:rsid w:val="670E2E12"/>
    <w:rsid w:val="67A15C41"/>
    <w:rsid w:val="6BAD286C"/>
    <w:rsid w:val="6BF54413"/>
    <w:rsid w:val="708B1D1F"/>
    <w:rsid w:val="7281361E"/>
    <w:rsid w:val="73852BD4"/>
    <w:rsid w:val="7C90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Calibri" w:hAnsi="Calibri" w:eastAsia="方正仿宋_GB2312" w:cs="Times New Roman"/>
      <w:kern w:val="2"/>
      <w:sz w:val="32"/>
      <w:szCs w:val="24"/>
      <w:lang w:val="en-US" w:eastAsia="zh-CN" w:bidi="ar-SA"/>
    </w:rPr>
  </w:style>
  <w:style w:type="paragraph" w:styleId="2">
    <w:name w:val="heading 2"/>
    <w:basedOn w:val="1"/>
    <w:next w:val="1"/>
    <w:unhideWhenUsed/>
    <w:qFormat/>
    <w:uiPriority w:val="0"/>
    <w:pPr>
      <w:spacing w:beforeAutospacing="1" w:afterAutospacing="1" w:line="360" w:lineRule="auto"/>
      <w:jc w:val="left"/>
      <w:outlineLvl w:val="1"/>
    </w:pPr>
    <w:rPr>
      <w:rFonts w:hint="eastAsia" w:ascii="宋体" w:hAnsi="宋体" w:eastAsia="黑体"/>
      <w:b/>
      <w:bCs/>
      <w:kern w:val="0"/>
      <w:szCs w:val="36"/>
    </w:rPr>
  </w:style>
  <w:style w:type="paragraph" w:styleId="3">
    <w:name w:val="heading 3"/>
    <w:basedOn w:val="1"/>
    <w:next w:val="1"/>
    <w:unhideWhenUsed/>
    <w:qFormat/>
    <w:uiPriority w:val="0"/>
    <w:pPr>
      <w:keepNext/>
      <w:keepLines/>
      <w:spacing w:before="260" w:after="260" w:line="413" w:lineRule="auto"/>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link w:val="16"/>
    <w:qFormat/>
    <w:uiPriority w:val="0"/>
    <w:pPr>
      <w:spacing w:after="120"/>
    </w:pPr>
  </w:style>
  <w:style w:type="paragraph" w:styleId="6">
    <w:name w:val="Balloon Text"/>
    <w:basedOn w:val="1"/>
    <w:link w:val="15"/>
    <w:qFormat/>
    <w:uiPriority w:val="0"/>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4"/>
    <w:next w:val="4"/>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styleId="13">
    <w:name w:val="List Paragraph"/>
    <w:basedOn w:val="1"/>
    <w:qFormat/>
    <w:uiPriority w:val="99"/>
    <w:pPr>
      <w:ind w:firstLine="420"/>
    </w:pPr>
  </w:style>
  <w:style w:type="paragraph" w:customStyle="1" w:styleId="14">
    <w:name w:val="my正文"/>
    <w:basedOn w:val="1"/>
    <w:qFormat/>
    <w:uiPriority w:val="0"/>
    <w:pPr>
      <w:spacing w:line="360" w:lineRule="auto"/>
      <w:ind w:firstLine="480"/>
    </w:pPr>
    <w:rPr>
      <w:rFonts w:ascii="Times New Roman" w:hAnsi="Times New Roman" w:cs="等线 Light"/>
      <w:kern w:val="0"/>
      <w:szCs w:val="20"/>
    </w:rPr>
  </w:style>
  <w:style w:type="character" w:customStyle="1" w:styleId="15">
    <w:name w:val="批注框文本 Char"/>
    <w:basedOn w:val="11"/>
    <w:link w:val="6"/>
    <w:qFormat/>
    <w:uiPriority w:val="0"/>
    <w:rPr>
      <w:rFonts w:ascii="Calibri" w:hAnsi="Calibri" w:eastAsia="方正仿宋_GB2312"/>
      <w:kern w:val="2"/>
      <w:sz w:val="18"/>
      <w:szCs w:val="18"/>
    </w:rPr>
  </w:style>
  <w:style w:type="character" w:customStyle="1" w:styleId="16">
    <w:name w:val="正文文本 Char"/>
    <w:basedOn w:val="11"/>
    <w:link w:val="5"/>
    <w:qFormat/>
    <w:uiPriority w:val="0"/>
    <w:rPr>
      <w:rFonts w:ascii="Calibri" w:hAnsi="Calibri" w:eastAsia="方正仿宋_GB2312"/>
      <w:kern w:val="2"/>
      <w:sz w:val="32"/>
      <w:szCs w:val="24"/>
    </w:rPr>
  </w:style>
  <w:style w:type="character" w:customStyle="1" w:styleId="17">
    <w:name w:val="批注文字 Char"/>
    <w:basedOn w:val="11"/>
    <w:link w:val="4"/>
    <w:qFormat/>
    <w:uiPriority w:val="0"/>
    <w:rPr>
      <w:rFonts w:ascii="Calibri" w:hAnsi="Calibri" w:eastAsia="方正仿宋_GB2312"/>
      <w:kern w:val="2"/>
      <w:sz w:val="32"/>
      <w:szCs w:val="24"/>
    </w:rPr>
  </w:style>
  <w:style w:type="character" w:customStyle="1" w:styleId="18">
    <w:name w:val="批注主题 Char"/>
    <w:basedOn w:val="17"/>
    <w:link w:val="8"/>
    <w:qFormat/>
    <w:uiPriority w:val="0"/>
    <w:rPr>
      <w:rFonts w:ascii="Calibri" w:hAnsi="Calibri" w:eastAsia="方正仿宋_GB2312"/>
      <w:b/>
      <w:bCs/>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3666</Words>
  <Characters>3820</Characters>
  <Lines>26</Lines>
  <Paragraphs>7</Paragraphs>
  <TotalTime>454</TotalTime>
  <ScaleCrop>false</ScaleCrop>
  <LinksUpToDate>false</LinksUpToDate>
  <CharactersWithSpaces>3840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2024-06-05T02:11:00Z</dcterms:created>
  <dc:creator>58874</dc:creator>
  <cp:lastModifiedBy>WuRabala-O</cp:lastModifiedBy>
  <dcterms:modified xsi:type="dcterms:W3CDTF">2025-06-30T09:46:02Z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A27D10F43DB14D229B1E0353842D0525_13</vt:lpwstr>
  </property>
  <property fmtid="{D5CDD505-2E9C-101B-9397-08002B2CF9AE}" pid="4" name="KSOTemplateDocerSaveRecord">
    <vt:lpwstr>eyJoZGlkIjoiOTJjNGI3YWNmOTRjNWY2OGE0NDdlOTFkYjQxYWIwYjMiLCJ1c2VySWQiOiI0MjE1NDUwMTYifQ==</vt:lpwstr>
  </property>
</Properties>
</file>